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附件：</w:t>
      </w:r>
    </w:p>
    <w:p>
      <w:pPr>
        <w:jc w:val="center"/>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2024年第三批内蒙古自治区建筑业</w:t>
      </w:r>
    </w:p>
    <w:p>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bidi="ar"/>
        </w:rPr>
        <w:t>新技术应用示范工程名</w:t>
      </w:r>
      <w:r>
        <w:rPr>
          <w:rFonts w:hint="eastAsia" w:ascii="方正小标宋简体" w:hAnsi="方正小标宋简体" w:eastAsia="方正小标宋简体" w:cs="方正小标宋简体"/>
          <w:b w:val="0"/>
          <w:bCs w:val="0"/>
          <w:color w:val="auto"/>
          <w:sz w:val="44"/>
          <w:szCs w:val="44"/>
          <w:lang w:val="en-US" w:eastAsia="zh-CN"/>
        </w:rPr>
        <w:t>单</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（排名不分先后）</w:t>
      </w:r>
    </w:p>
    <w:tbl>
      <w:tblPr>
        <w:tblStyle w:val="4"/>
        <w:tblW w:w="6063" w:type="pct"/>
        <w:tblInd w:w="-9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6"/>
        <w:gridCol w:w="4947"/>
        <w:gridCol w:w="302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blHeader/>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工程名称</w:t>
            </w:r>
            <w:bookmarkStart w:id="0" w:name="_GoBack"/>
            <w:bookmarkEnd w:id="0"/>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施工单位</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评价意见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万锦•滨河国际二标段</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内蒙古华亿建筑工程有限公司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国内先进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准格尔旗薛家湾镇乌兰桥建设工程项目（桥梁部分）</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兴泰建设集团有限公司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国内先进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丹锡高速公路克什克腾至承德联络线克什克腾（经棚）至乌兰布统（蒙冀界）段高速公路</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内蒙古路桥集团有限责任公司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国内先进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锦泰榕城住宅小区1#-8#楼标段</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内蒙古建设集团股份有限公司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区内先进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东胜区第十五中学建设项目</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河北建设集团股份有限公司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区内先进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科右中旗盛和·沁园一期工程</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赤峰宝晟建筑安装工程有限公司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区内先进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3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FF"/>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包头市九原区蒙医中医医院及公共卫生综合服务楼新建项目一期工程</w:t>
            </w:r>
          </w:p>
        </w:tc>
        <w:tc>
          <w:tcPr>
            <w:tcW w:w="1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中国二冶集团有限公司</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sz w:val="24"/>
                <w:szCs w:val="24"/>
                <w:u w:val="none"/>
                <w:lang w:val="en-US" w:eastAsia="zh-CN"/>
              </w:rPr>
              <w:t>区内先进</w:t>
            </w:r>
          </w:p>
        </w:tc>
      </w:tr>
    </w:tbl>
    <w:p>
      <w:pPr>
        <w:jc w:val="center"/>
      </w:pP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D67D982-2C0D-4254-B59A-5F8A0D001CE9}"/>
  </w:font>
  <w:font w:name="仿宋">
    <w:panose1 w:val="02010609060101010101"/>
    <w:charset w:val="86"/>
    <w:family w:val="auto"/>
    <w:pitch w:val="default"/>
    <w:sig w:usb0="800002BF" w:usb1="38CF7CFA" w:usb2="00000016" w:usb3="00000000" w:csb0="00040001" w:csb1="00000000"/>
    <w:embedRegular r:id="rId2" w:fontKey="{6A362DDE-1AF8-4F12-9EFA-1938D6BBB0AE}"/>
  </w:font>
  <w:font w:name="方正小标宋简体">
    <w:panose1 w:val="02000000000000000000"/>
    <w:charset w:val="86"/>
    <w:family w:val="auto"/>
    <w:pitch w:val="default"/>
    <w:sig w:usb0="00000001" w:usb1="08000000" w:usb2="00000000" w:usb3="00000000" w:csb0="00040000" w:csb1="00000000"/>
    <w:embedRegular r:id="rId3" w:fontKey="{DD791A66-20ED-476D-8A4A-45801DC91D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Tg3M2RkOTI0ZGQwMGQ2NWU1ZjdiNjM5OWEyNmEifQ=="/>
  </w:docVars>
  <w:rsids>
    <w:rsidRoot w:val="50F37768"/>
    <w:rsid w:val="50F3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2024-05-15T02:47:00Z</dcterms:created>
  <dc:creator>ltj</dc:creator>
  <cp:lastModifiedBy>ltj</cp:lastModifiedBy>
  <dcterms:modified xsi:type="dcterms:W3CDTF">2024-05-15T02:48:16Z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A4EC5FE2FCC749ED8388A940374869A5_11</vt:lpwstr>
  </property>
</Properties>
</file>