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中建三局集团有限公司</w:t>
      </w:r>
    </w:p>
    <w:p>
      <w:pPr>
        <w:jc w:val="center"/>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三局集团有限公司(以下简称“中建三局”)，全国首家行业全覆盖房建施工总承包新特级资质企业，同时拥有市政公用工程施工总承包特级资质和公路工程施工总承包特级资质，排名中国建筑业竞争力两百强企业榜首。</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目前，中建三局有主要二级经营单位 24 家，在建项目千余个，遍布全国 31 个省、自治区、直辖市及香港、澳门 2 个特别行政区，海外营销网络覆盖全球 37 个国家。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 57 年来，中建三局秉持“敢为天下先，永远争第一”的争先精神，创造了三天一层楼的“深圳速度”，书写了中国改革开放的代名词。先后承建、参建包括上海环球金融中心(492米)、天津 117大厦(597米)、北京中国尊(528</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rPr>
        <w:t>)在内的全国 20 个省、区、市第一高楼，累计获得鲁班金像奖(国家优质工程奖)243 项、专利 1400 多项。近年来，中建三局发挥规划设计、投资开发、基础设施、房建总包“四位一体”优势，参与城市建设，开发品质楼盘，不断拓展建筑工业化、地下空间、水利水务、节能环保等新兴业务，企业实现高质量发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 年春节，新冠疫情在全国爆发，中建三局人逆行冲锋，全力以赴承建火神山、雷神山两所应急医院，驰援全国各地“小汤山”医院、“方舱医院”建设,为抗击新冠肺炎疫情贡献力量。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如今，中建三局已经发展成为年合同额 7756 亿元、营业收入 3650 亿元的现代企业集团，营业规模达到世界 500 强第 253 位标准，主要经济指标多年排名中建集团工程局第一名、湖北百强企业</w:t>
      </w:r>
      <w:bookmarkStart w:id="0" w:name="_GoBack"/>
      <w:bookmarkEnd w:id="0"/>
      <w:r>
        <w:rPr>
          <w:rFonts w:hint="eastAsia" w:ascii="仿宋_GB2312" w:hAnsi="仿宋_GB2312" w:eastAsia="仿宋_GB2312" w:cs="仿宋_GB2312"/>
          <w:sz w:val="32"/>
          <w:szCs w:val="32"/>
        </w:rPr>
        <w:t>第二名，先后蝉联三届全国文明单位，四次捧回全国五一劳动奖状，正朝着“成为最具价值创造力</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的世界一流投资建设集团”的目标不懈奋斗。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企业发展目前所面临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4FD6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2023-09-12T04:47:59Z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7D55F914D8F34E96A2FEC7E94A16FF84_12</vt:lpwstr>
  </property>
</Properties>
</file>